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top w:w="240" w:type="dxa"/>
          <w:left w:w="240" w:type="dxa"/>
          <w:bottom w:w="240" w:type="dxa"/>
          <w:right w:w="240" w:type="dxa"/>
        </w:tblCellMar>
        <w:tblLook w:val="04A0" w:firstRow="1" w:lastRow="0" w:firstColumn="1" w:lastColumn="0" w:noHBand="0" w:noVBand="1"/>
      </w:tblPr>
      <w:tblGrid>
        <w:gridCol w:w="2550"/>
        <w:gridCol w:w="6672"/>
      </w:tblGrid>
      <w:tr w:rsidR="004D0744" w:rsidRPr="004D0744" w:rsidTr="004D0744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pPr>
              <w:rPr>
                <w:b/>
                <w:bCs/>
              </w:rPr>
            </w:pPr>
            <w:r w:rsidRPr="004D0744">
              <w:rPr>
                <w:b/>
                <w:bCs/>
              </w:rPr>
              <w:t>Годишни финансови сметки</w:t>
            </w:r>
          </w:p>
        </w:tc>
      </w:tr>
      <w:tr w:rsidR="004D0744" w:rsidRPr="004D0744" w:rsidTr="004D0744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pPr>
              <w:rPr>
                <w:b/>
                <w:bCs/>
              </w:rPr>
            </w:pPr>
            <w:r w:rsidRPr="004D0744">
              <w:rPr>
                <w:b/>
                <w:bCs/>
              </w:rPr>
              <w:t>Контакт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Организация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Национален статистически институт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Отдел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„Финансова статистика“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Лице за контакт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 xml:space="preserve">Десислава </w:t>
            </w:r>
            <w:proofErr w:type="spellStart"/>
            <w:r w:rsidRPr="004D0744">
              <w:t>Малинкова</w:t>
            </w:r>
            <w:proofErr w:type="spellEnd"/>
          </w:p>
          <w:p w:rsidR="004D0744" w:rsidRPr="004D0744" w:rsidRDefault="004D0744" w:rsidP="004D0744">
            <w:r w:rsidRPr="004D0744">
              <w:t>Петър Каменов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Длъжност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главен експерт</w:t>
            </w:r>
          </w:p>
          <w:p w:rsidR="004D0744" w:rsidRPr="004D0744" w:rsidRDefault="004D0744" w:rsidP="004D0744">
            <w:r w:rsidRPr="004D0744">
              <w:t>главен експерт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Адрес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 xml:space="preserve">ул. „П. </w:t>
            </w:r>
            <w:proofErr w:type="spellStart"/>
            <w:r w:rsidRPr="004D0744">
              <w:t>Волов</w:t>
            </w:r>
            <w:proofErr w:type="spellEnd"/>
            <w:r w:rsidRPr="004D0744">
              <w:t>“ № 2, София 1038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Електронна поща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hyperlink r:id="rId6" w:history="1">
              <w:r w:rsidRPr="004D0744">
                <w:rPr>
                  <w:rStyle w:val="Hyperlink"/>
                </w:rPr>
                <w:t>DMalinkova@nsi.bg</w:t>
              </w:r>
            </w:hyperlink>
          </w:p>
          <w:p w:rsidR="004D0744" w:rsidRPr="004D0744" w:rsidRDefault="004D0744" w:rsidP="004D0744">
            <w:hyperlink r:id="rId7" w:history="1">
              <w:r w:rsidRPr="004D0744">
                <w:rPr>
                  <w:rStyle w:val="Hyperlink"/>
                </w:rPr>
                <w:t>PKamenov@nsi.bg</w:t>
              </w:r>
            </w:hyperlink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Телефон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+359 2 9857 192</w:t>
            </w:r>
          </w:p>
          <w:p w:rsidR="004D0744" w:rsidRPr="004D0744" w:rsidRDefault="004D0744" w:rsidP="004D0744">
            <w:r w:rsidRPr="004D0744">
              <w:t>+359 2 9857 516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Факс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/>
        </w:tc>
      </w:tr>
      <w:tr w:rsidR="004D0744" w:rsidRPr="004D0744" w:rsidTr="004D0744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pPr>
              <w:rPr>
                <w:b/>
                <w:bCs/>
              </w:rPr>
            </w:pPr>
            <w:r w:rsidRPr="004D0744">
              <w:rPr>
                <w:b/>
                <w:bCs/>
              </w:rPr>
              <w:t>Актуализиране на метаданните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Дата на последно потвърждаване на метаданните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11 ноември 2014 г.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Дата на последно публикуване на метаданните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13 ноември 2014 г.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Дата на последно актуализиране на метаданните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11 ноември 2014 г.</w:t>
            </w:r>
          </w:p>
        </w:tc>
      </w:tr>
      <w:tr w:rsidR="004D0744" w:rsidRPr="004D0744" w:rsidTr="004D0744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pPr>
              <w:rPr>
                <w:b/>
                <w:bCs/>
              </w:rPr>
            </w:pPr>
            <w:r w:rsidRPr="004D0744">
              <w:rPr>
                <w:b/>
                <w:bCs/>
              </w:rPr>
              <w:t>Статистическо представяне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Описание на данните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 xml:space="preserve">Годишните финансови национални сметки отразяват балансите за наличностите и потоците по институционални сектори на икономиката: Нефинансови предприятия (S.11); </w:t>
            </w:r>
            <w:proofErr w:type="spellStart"/>
            <w:r w:rsidRPr="004D0744">
              <w:t>Централана</w:t>
            </w:r>
            <w:proofErr w:type="spellEnd"/>
            <w:r w:rsidRPr="004D0744">
              <w:t xml:space="preserve"> банка (S.121); Други парично-финансови институции (S.122+S.123); Инвестиционни фондове различни от тези на паричния пазар (S.124); Други финансови </w:t>
            </w:r>
            <w:proofErr w:type="spellStart"/>
            <w:r w:rsidRPr="004D0744">
              <w:t>посредници</w:t>
            </w:r>
            <w:proofErr w:type="spellEnd"/>
            <w:r w:rsidRPr="004D0744">
              <w:t xml:space="preserve"> без застрахователните (осигурителните) дружества и пенсионните фондове, Финансови спомагателни организации и </w:t>
            </w:r>
            <w:proofErr w:type="spellStart"/>
            <w:r w:rsidRPr="004D0744">
              <w:t>Каптивни</w:t>
            </w:r>
            <w:proofErr w:type="spellEnd"/>
            <w:r w:rsidRPr="004D0744">
              <w:t xml:space="preserve"> финансови институции и заемодатели (S.125+S.126+S.127); Застрахователни (осигурителни) дружества и пенсионни фондове (S.128+S.129); Държавно управление (S.13); Домакинства (S.14); Нетърговски </w:t>
            </w:r>
            <w:r w:rsidRPr="004D0744">
              <w:lastRenderedPageBreak/>
              <w:t>организации, обслужващи домакинствата (S.15); Останал свят (S.2). Балансиращата статия се изразява с нето предоставените / нето получените заеми. Данните за данъците и социалните осигуровки са представени по метода на модифицирана касова основа.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lastRenderedPageBreak/>
              <w:t>Използвани класификации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· Европейска система от национални и регионални сметки 2010 (ЕСC 2010);</w:t>
            </w:r>
          </w:p>
          <w:p w:rsidR="004D0744" w:rsidRPr="004D0744" w:rsidRDefault="004D0744" w:rsidP="004D0744">
            <w:r w:rsidRPr="004D0744">
              <w:t>· Ръководство за дефицита и дълга на сектор „Държавно управление“.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Обхват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Всички институционални сектори на ЕСC 2010.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Понятия и дефиниции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· Европейска система от национални и регионални сметки 2010 (ЕСC 2010);</w:t>
            </w:r>
          </w:p>
          <w:p w:rsidR="004D0744" w:rsidRPr="004D0744" w:rsidRDefault="004D0744" w:rsidP="004D0744">
            <w:r w:rsidRPr="004D0744">
              <w:t>· Ръководство за дефицита и дълга на сектор „Държавно управление“.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Статистическа единица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Предприятие.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Статистическа съвкупност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Финансови показатели по институционални сектори.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Географски обхват (територия)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Финансови показатели за всички вътрешни сектори на икономиката (S.1) и останал свят (S.2).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Времеви обхват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 xml:space="preserve">Наличности - 2000-2013; </w:t>
            </w:r>
            <w:proofErr w:type="spellStart"/>
            <w:r w:rsidRPr="004D0744">
              <w:t>потoци</w:t>
            </w:r>
            <w:proofErr w:type="spellEnd"/>
            <w:r w:rsidRPr="004D0744">
              <w:t xml:space="preserve"> - 2001-2013.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Базисен период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Не се прилага.</w:t>
            </w:r>
          </w:p>
        </w:tc>
      </w:tr>
      <w:tr w:rsidR="004D0744" w:rsidRPr="004D0744" w:rsidTr="004D0744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pPr>
              <w:rPr>
                <w:b/>
                <w:bCs/>
              </w:rPr>
            </w:pPr>
            <w:r w:rsidRPr="004D0744">
              <w:rPr>
                <w:b/>
                <w:bCs/>
              </w:rPr>
              <w:t>Мерна единица</w:t>
            </w:r>
          </w:p>
        </w:tc>
      </w:tr>
      <w:tr w:rsidR="004D0744" w:rsidRPr="004D0744" w:rsidTr="004D0744"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Млн. лева</w:t>
            </w:r>
          </w:p>
        </w:tc>
      </w:tr>
      <w:tr w:rsidR="004D0744" w:rsidRPr="004D0744" w:rsidTr="004D0744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pPr>
              <w:rPr>
                <w:b/>
                <w:bCs/>
              </w:rPr>
            </w:pPr>
            <w:r w:rsidRPr="004D0744">
              <w:rPr>
                <w:b/>
                <w:bCs/>
              </w:rPr>
              <w:t>Отчетен период</w:t>
            </w:r>
          </w:p>
        </w:tc>
      </w:tr>
      <w:tr w:rsidR="004D0744" w:rsidRPr="004D0744" w:rsidTr="004D0744"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Година.</w:t>
            </w:r>
          </w:p>
        </w:tc>
      </w:tr>
      <w:tr w:rsidR="004D0744" w:rsidRPr="004D0744" w:rsidTr="004D0744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pPr>
              <w:rPr>
                <w:b/>
                <w:bCs/>
              </w:rPr>
            </w:pPr>
            <w:r w:rsidRPr="004D0744">
              <w:rPr>
                <w:b/>
                <w:bCs/>
              </w:rPr>
              <w:t>Нормативна база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Нормативни документи и други споразумения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• Регламент (ЕC) № 549/2013 на Европейския парламент и на Съвета от 21 май 2013 година относно Европейската система от национални и регионални сметки в Европейския съюз</w:t>
            </w:r>
          </w:p>
          <w:p w:rsidR="004D0744" w:rsidRPr="004D0744" w:rsidRDefault="004D0744" w:rsidP="004D0744">
            <w:r w:rsidRPr="004D0744">
              <w:t>• Регламент (ЕО) № 479/2009 от 25 май 2009 година за прилагане Протокола за процедурата при прекомерен дефицит, приложен към Договора за създаване на Европейската общност</w:t>
            </w:r>
          </w:p>
          <w:p w:rsidR="004D0744" w:rsidRPr="004D0744" w:rsidRDefault="004D0744" w:rsidP="004D0744">
            <w:r w:rsidRPr="004D0744">
              <w:t xml:space="preserve">• Регламент (ЕC) № 679/2010 на Съвета от 26 юли 2010 година за изменение на Регламент (ЕО) № 479/2009 по отношение на качеството на статистическите данни в </w:t>
            </w:r>
            <w:r w:rsidRPr="004D0744">
              <w:lastRenderedPageBreak/>
              <w:t xml:space="preserve">контекста на процедурата при прекомерен дефицит </w:t>
            </w:r>
          </w:p>
          <w:p w:rsidR="004D0744" w:rsidRPr="004D0744" w:rsidRDefault="004D0744" w:rsidP="004D0744">
            <w:r w:rsidRPr="004D0744">
              <w:t xml:space="preserve">• Регламент (ЕC) № 220/2014 на Комисията от 7 март 2014 година за изменение на Регламент (ЕО) № 479/2009 на Съвета по отношение на позоваванията на Европейската система от национални и регионални сметки в Европейския съюз 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lastRenderedPageBreak/>
              <w:t>Споделяне на данни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 xml:space="preserve">Съгласно трансмисионната програма на </w:t>
            </w:r>
            <w:proofErr w:type="spellStart"/>
            <w:r w:rsidRPr="004D0744">
              <w:t>Евростат</w:t>
            </w:r>
            <w:proofErr w:type="spellEnd"/>
            <w:r w:rsidRPr="004D0744">
              <w:t>.</w:t>
            </w:r>
          </w:p>
        </w:tc>
      </w:tr>
      <w:tr w:rsidR="004D0744" w:rsidRPr="004D0744" w:rsidTr="004D0744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pPr>
              <w:rPr>
                <w:b/>
                <w:bCs/>
              </w:rPr>
            </w:pPr>
            <w:proofErr w:type="spellStart"/>
            <w:r w:rsidRPr="004D0744">
              <w:rPr>
                <w:b/>
                <w:bCs/>
              </w:rPr>
              <w:t>Конфиденциалност</w:t>
            </w:r>
            <w:proofErr w:type="spellEnd"/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proofErr w:type="spellStart"/>
            <w:r w:rsidRPr="004D0744">
              <w:t>Конфиденциалност</w:t>
            </w:r>
            <w:proofErr w:type="spellEnd"/>
            <w:r w:rsidRPr="004D0744">
              <w:t xml:space="preserve"> - политика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· Закон за статистиката;</w:t>
            </w:r>
          </w:p>
          <w:p w:rsidR="004D0744" w:rsidRPr="004D0744" w:rsidRDefault="004D0744" w:rsidP="004D0744">
            <w:r w:rsidRPr="004D0744">
              <w:t>· Регламент (ЕО) № 223/2009 на Европейския парламент и на Съвета относно европейската статистика (съображение 24 и член 20 (4)) от 11 март 2009 г.) предвижда необходимостта да се изготвят общи принципи и насоки, гарантиращи поверителността на използваните данни за производството на европейските статистически данни и достъп до тези поверителни данни, при надлежно отчитане на техническото развитие и изискванията на ползвателите в едно демократично общество.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proofErr w:type="spellStart"/>
            <w:r w:rsidRPr="004D0744">
              <w:t>Конфиденциалност</w:t>
            </w:r>
            <w:proofErr w:type="spellEnd"/>
            <w:r w:rsidRPr="004D0744">
              <w:t xml:space="preserve"> - правила за защита на данни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Индивидуални данни не се публикуват, спазвайки член 25 от Закона за статистиката. Разпространението на индивидуални данни се извършва само съгласно член 26 от Закона за статистиката.</w:t>
            </w:r>
          </w:p>
        </w:tc>
      </w:tr>
      <w:tr w:rsidR="004D0744" w:rsidRPr="004D0744" w:rsidTr="004D0744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pPr>
              <w:rPr>
                <w:b/>
                <w:bCs/>
              </w:rPr>
            </w:pPr>
            <w:r w:rsidRPr="004D0744">
              <w:rPr>
                <w:b/>
                <w:bCs/>
              </w:rPr>
              <w:t>Политика за публикуване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Календар за публикуване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 xml:space="preserve">Датата за публикуване на статистическата информация е посочена в Календара за разпространение на резултатите от статистическите изследвания на НСИ. Статистическата информация за </w:t>
            </w:r>
            <w:proofErr w:type="spellStart"/>
            <w:r w:rsidRPr="004D0744">
              <w:t>наличносите</w:t>
            </w:r>
            <w:proofErr w:type="spellEnd"/>
            <w:r w:rsidRPr="004D0744">
              <w:t xml:space="preserve"> и потоците и нето предоставените / нето получените заеми по </w:t>
            </w:r>
            <w:proofErr w:type="spellStart"/>
            <w:r w:rsidRPr="004D0744">
              <w:t>иституционални</w:t>
            </w:r>
            <w:proofErr w:type="spellEnd"/>
            <w:r w:rsidRPr="004D0744">
              <w:t xml:space="preserve"> сектори се предоставя на </w:t>
            </w:r>
            <w:proofErr w:type="spellStart"/>
            <w:r w:rsidRPr="004D0744">
              <w:t>Евростат</w:t>
            </w:r>
            <w:proofErr w:type="spellEnd"/>
            <w:r w:rsidRPr="004D0744">
              <w:t xml:space="preserve"> и публикува в интернет сайта на НСИ.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Достъп до календара за публикуване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 xml:space="preserve">Календарът е наличен на интернет сайта на НСИ: </w:t>
            </w:r>
            <w:hyperlink r:id="rId8" w:history="1">
              <w:r w:rsidRPr="004D0744">
                <w:rPr>
                  <w:rStyle w:val="Hyperlink"/>
                </w:rPr>
                <w:t>http://www.nsi.bg/bg/node/488</w:t>
              </w:r>
            </w:hyperlink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Достъп за потребителите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 xml:space="preserve">Данните се публикуват на интернет сайта на НСИ в рубрика Макроикономическа статистика в съответствие със Закона за статистиката и Кодекса на европейската статистическа практика, зачитайки професионалната независимост и с цел обективност, прозрачност, при което всички потребители са </w:t>
            </w:r>
            <w:proofErr w:type="spellStart"/>
            <w:r w:rsidRPr="004D0744">
              <w:t>равнопоставени</w:t>
            </w:r>
            <w:proofErr w:type="spellEnd"/>
            <w:r w:rsidRPr="004D0744">
              <w:t>.</w:t>
            </w:r>
          </w:p>
        </w:tc>
      </w:tr>
      <w:tr w:rsidR="004D0744" w:rsidRPr="004D0744" w:rsidTr="004D0744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pPr>
              <w:rPr>
                <w:b/>
                <w:bCs/>
              </w:rPr>
            </w:pPr>
            <w:r w:rsidRPr="004D0744">
              <w:rPr>
                <w:b/>
                <w:bCs/>
              </w:rPr>
              <w:t>Честота на разпространение</w:t>
            </w:r>
          </w:p>
        </w:tc>
      </w:tr>
      <w:tr w:rsidR="004D0744" w:rsidRPr="004D0744" w:rsidTr="004D0744"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lastRenderedPageBreak/>
              <w:t>Годишно.</w:t>
            </w:r>
          </w:p>
        </w:tc>
      </w:tr>
      <w:tr w:rsidR="004D0744" w:rsidRPr="004D0744" w:rsidTr="004D0744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pPr>
              <w:rPr>
                <w:b/>
                <w:bCs/>
              </w:rPr>
            </w:pPr>
            <w:r w:rsidRPr="004D0744">
              <w:rPr>
                <w:b/>
                <w:bCs/>
              </w:rPr>
              <w:t>Формат на разпространение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proofErr w:type="spellStart"/>
            <w:r w:rsidRPr="004D0744">
              <w:t>Прессъобщения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Не се прилага.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Публикации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Основни макроикономически показатели – електронна публикация.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Онлайн база данни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Подробни данни са достъпни за всички потребители на интернет сайта на НСИ в рубрика Макроикономическа статистика - Годишни икономически сметки:</w:t>
            </w:r>
            <w:proofErr w:type="spellStart"/>
            <w:r w:rsidRPr="004D0744">
              <w:fldChar w:fldCharType="begin"/>
            </w:r>
            <w:r w:rsidRPr="004D0744">
              <w:instrText xml:space="preserve"> HYPERLINK "http://www.nsi.bg/bg/content/2340/" </w:instrText>
            </w:r>
            <w:r w:rsidRPr="004D0744">
              <w:fldChar w:fldCharType="separate"/>
            </w:r>
            <w:r w:rsidRPr="004D0744">
              <w:rPr>
                <w:rStyle w:val="Hyperlink"/>
              </w:rPr>
              <w:t>http</w:t>
            </w:r>
            <w:proofErr w:type="spellEnd"/>
            <w:r w:rsidRPr="004D0744">
              <w:rPr>
                <w:rStyle w:val="Hyperlink"/>
              </w:rPr>
              <w:t>://</w:t>
            </w:r>
            <w:proofErr w:type="spellStart"/>
            <w:r w:rsidRPr="004D0744">
              <w:rPr>
                <w:rStyle w:val="Hyperlink"/>
              </w:rPr>
              <w:t>www</w:t>
            </w:r>
            <w:proofErr w:type="spellEnd"/>
            <w:r w:rsidRPr="004D0744">
              <w:rPr>
                <w:rStyle w:val="Hyperlink"/>
              </w:rPr>
              <w:t>.</w:t>
            </w:r>
            <w:proofErr w:type="spellStart"/>
            <w:r w:rsidRPr="004D0744">
              <w:rPr>
                <w:rStyle w:val="Hyperlink"/>
              </w:rPr>
              <w:t>nsi</w:t>
            </w:r>
            <w:proofErr w:type="spellEnd"/>
            <w:r w:rsidRPr="004D0744">
              <w:rPr>
                <w:rStyle w:val="Hyperlink"/>
              </w:rPr>
              <w:t>.</w:t>
            </w:r>
            <w:proofErr w:type="spellStart"/>
            <w:r w:rsidRPr="004D0744">
              <w:rPr>
                <w:rStyle w:val="Hyperlink"/>
              </w:rPr>
              <w:t>bg</w:t>
            </w:r>
            <w:proofErr w:type="spellEnd"/>
            <w:r w:rsidRPr="004D0744">
              <w:rPr>
                <w:rStyle w:val="Hyperlink"/>
              </w:rPr>
              <w:t>/</w:t>
            </w:r>
            <w:proofErr w:type="spellStart"/>
            <w:r w:rsidRPr="004D0744">
              <w:rPr>
                <w:rStyle w:val="Hyperlink"/>
              </w:rPr>
              <w:t>bg</w:t>
            </w:r>
            <w:proofErr w:type="spellEnd"/>
            <w:r w:rsidRPr="004D0744">
              <w:rPr>
                <w:rStyle w:val="Hyperlink"/>
              </w:rPr>
              <w:t>/</w:t>
            </w:r>
            <w:proofErr w:type="spellStart"/>
            <w:r w:rsidRPr="004D0744">
              <w:rPr>
                <w:rStyle w:val="Hyperlink"/>
              </w:rPr>
              <w:t>content</w:t>
            </w:r>
            <w:proofErr w:type="spellEnd"/>
            <w:r w:rsidRPr="004D0744">
              <w:rPr>
                <w:rStyle w:val="Hyperlink"/>
              </w:rPr>
              <w:t>/2340/</w:t>
            </w:r>
            <w:r w:rsidRPr="004D0744">
              <w:fldChar w:fldCharType="end"/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 xml:space="preserve">Достъп до </w:t>
            </w:r>
            <w:proofErr w:type="spellStart"/>
            <w:r w:rsidRPr="004D0744">
              <w:t>микроданни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Не се прилага.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Други формати на разпространение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Не се прилага.</w:t>
            </w:r>
          </w:p>
        </w:tc>
      </w:tr>
      <w:tr w:rsidR="004D0744" w:rsidRPr="004D0744" w:rsidTr="004D0744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pPr>
              <w:rPr>
                <w:b/>
                <w:bCs/>
              </w:rPr>
            </w:pPr>
            <w:r w:rsidRPr="004D0744">
              <w:rPr>
                <w:b/>
                <w:bCs/>
              </w:rPr>
              <w:t>Достъпност на документацията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Методологични документи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• Годишни финансови сметки - източници и методи /България/</w:t>
            </w:r>
            <w:r w:rsidRPr="004D0744">
              <w:br/>
              <w:t>• Европейска система от национални и регионални сметки (2010)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Документи за качеството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Не се прилага.</w:t>
            </w:r>
          </w:p>
        </w:tc>
      </w:tr>
      <w:tr w:rsidR="004D0744" w:rsidRPr="004D0744" w:rsidTr="004D0744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pPr>
              <w:rPr>
                <w:b/>
                <w:bCs/>
              </w:rPr>
            </w:pPr>
            <w:r w:rsidRPr="004D0744">
              <w:rPr>
                <w:b/>
                <w:bCs/>
              </w:rPr>
              <w:t>Управление на качеството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Осигуряване на качеството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· Кодекс на европейската статистическа практика;</w:t>
            </w:r>
          </w:p>
          <w:p w:rsidR="004D0744" w:rsidRPr="004D0744" w:rsidRDefault="004D0744" w:rsidP="004D0744">
            <w:r w:rsidRPr="004D0744">
              <w:t>· Обща рамка за управление на качеството в НСС.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Оценка на качеството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Процедурата за оценка на качеството включва логически и аритметични проверки на данните за съответствие с ЕСC 2010.</w:t>
            </w:r>
          </w:p>
        </w:tc>
      </w:tr>
      <w:tr w:rsidR="004D0744" w:rsidRPr="004D0744" w:rsidTr="004D0744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pPr>
              <w:rPr>
                <w:b/>
                <w:bCs/>
              </w:rPr>
            </w:pPr>
            <w:r w:rsidRPr="004D0744">
              <w:rPr>
                <w:b/>
                <w:bCs/>
              </w:rPr>
              <w:t>Приложимост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Потребности на потребителите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Основни потребители на данните за годишни икономически сметки:</w:t>
            </w:r>
          </w:p>
          <w:p w:rsidR="004D0744" w:rsidRPr="004D0744" w:rsidRDefault="004D0744" w:rsidP="004D0744">
            <w:r w:rsidRPr="004D0744">
              <w:t xml:space="preserve">· </w:t>
            </w:r>
            <w:proofErr w:type="spellStart"/>
            <w:r w:rsidRPr="004D0744">
              <w:t>Евростат</w:t>
            </w:r>
            <w:proofErr w:type="spellEnd"/>
            <w:r w:rsidRPr="004D0744">
              <w:t>;</w:t>
            </w:r>
          </w:p>
          <w:p w:rsidR="004D0744" w:rsidRPr="004D0744" w:rsidRDefault="004D0744" w:rsidP="004D0744">
            <w:r w:rsidRPr="004D0744">
              <w:t>· Европейска централна банка (EЦБ);</w:t>
            </w:r>
          </w:p>
          <w:p w:rsidR="004D0744" w:rsidRPr="004D0744" w:rsidRDefault="004D0744" w:rsidP="004D0744">
            <w:r w:rsidRPr="004D0744">
              <w:t>· Българска народна банка (БНБ);</w:t>
            </w:r>
          </w:p>
          <w:p w:rsidR="004D0744" w:rsidRPr="004D0744" w:rsidRDefault="004D0744" w:rsidP="004D0744">
            <w:r w:rsidRPr="004D0744">
              <w:t>· международни финансови организации и други.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Удовлетвореност на потребителите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Не се прилага.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Пълнота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Финансовите сметки на България покриват всички изисквания по отношение на финансовите показатели и институционалните сектори, определени в ЕСC 2010.</w:t>
            </w:r>
          </w:p>
        </w:tc>
      </w:tr>
      <w:tr w:rsidR="004D0744" w:rsidRPr="004D0744" w:rsidTr="004D0744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pPr>
              <w:rPr>
                <w:b/>
                <w:bCs/>
              </w:rPr>
            </w:pPr>
            <w:r w:rsidRPr="004D0744">
              <w:rPr>
                <w:b/>
                <w:bCs/>
              </w:rPr>
              <w:lastRenderedPageBreak/>
              <w:t>Точност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Обща точност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Осигурява се съгласно посочените по-горе регламенти.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proofErr w:type="spellStart"/>
            <w:r w:rsidRPr="004D0744">
              <w:t>Извадкови</w:t>
            </w:r>
            <w:proofErr w:type="spellEnd"/>
            <w:r w:rsidRPr="004D0744">
              <w:t xml:space="preserve"> грешки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Не се прилага.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proofErr w:type="spellStart"/>
            <w:r w:rsidRPr="004D0744">
              <w:t>Неизвадкови</w:t>
            </w:r>
            <w:proofErr w:type="spellEnd"/>
            <w:r w:rsidRPr="004D0744">
              <w:t xml:space="preserve"> грешки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Не се прилага.</w:t>
            </w:r>
          </w:p>
        </w:tc>
      </w:tr>
      <w:tr w:rsidR="004D0744" w:rsidRPr="004D0744" w:rsidTr="004D0744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pPr>
              <w:rPr>
                <w:b/>
                <w:bCs/>
              </w:rPr>
            </w:pPr>
            <w:r w:rsidRPr="004D0744">
              <w:rPr>
                <w:b/>
                <w:bCs/>
              </w:rPr>
              <w:t>Навременност и точност на представяне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Навременност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 xml:space="preserve">Т+9 месеца на текущата година с данни за предходната година, съгласно трансмисионната програма на </w:t>
            </w:r>
            <w:proofErr w:type="spellStart"/>
            <w:r w:rsidRPr="004D0744">
              <w:t>Евростат</w:t>
            </w:r>
            <w:proofErr w:type="spellEnd"/>
            <w:r w:rsidRPr="004D0744">
              <w:t>.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Точност на представяне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В определения срок, Т+9.</w:t>
            </w:r>
          </w:p>
        </w:tc>
      </w:tr>
      <w:tr w:rsidR="004D0744" w:rsidRPr="004D0744" w:rsidTr="004D0744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pPr>
              <w:rPr>
                <w:b/>
                <w:bCs/>
              </w:rPr>
            </w:pPr>
            <w:r w:rsidRPr="004D0744">
              <w:rPr>
                <w:b/>
                <w:bCs/>
              </w:rPr>
              <w:t>Сравнимост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Географска сравнимост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Не се прилага.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Сравнимост във времето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 xml:space="preserve">Публикуваната информация за финансови сметки за финансовите показателите и </w:t>
            </w:r>
            <w:proofErr w:type="spellStart"/>
            <w:r w:rsidRPr="004D0744">
              <w:t>иституционалните</w:t>
            </w:r>
            <w:proofErr w:type="spellEnd"/>
            <w:r w:rsidRPr="004D0744">
              <w:t xml:space="preserve"> сектори са сравними във времето и отразяват изискванията на </w:t>
            </w:r>
            <w:proofErr w:type="spellStart"/>
            <w:r w:rsidRPr="004D0744">
              <w:t>Трансмисионнта</w:t>
            </w:r>
            <w:proofErr w:type="spellEnd"/>
            <w:r w:rsidRPr="004D0744">
              <w:t xml:space="preserve"> програма на </w:t>
            </w:r>
            <w:proofErr w:type="spellStart"/>
            <w:r w:rsidRPr="004D0744">
              <w:t>Евростат</w:t>
            </w:r>
            <w:proofErr w:type="spellEnd"/>
            <w:r w:rsidRPr="004D0744">
              <w:t>.</w:t>
            </w:r>
          </w:p>
        </w:tc>
      </w:tr>
      <w:tr w:rsidR="004D0744" w:rsidRPr="004D0744" w:rsidTr="004D0744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pPr>
              <w:rPr>
                <w:b/>
                <w:bCs/>
              </w:rPr>
            </w:pPr>
            <w:r w:rsidRPr="004D0744">
              <w:rPr>
                <w:b/>
                <w:bCs/>
              </w:rPr>
              <w:t>Съгласуваност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Съгласуваност между предметни области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При разработването на финансовите сметки се следват процедури и правила, които да осигуряват методологична надеждност на резултатите:</w:t>
            </w:r>
          </w:p>
          <w:p w:rsidR="004D0744" w:rsidRPr="004D0744" w:rsidRDefault="004D0744" w:rsidP="004D0744">
            <w:r w:rsidRPr="004D0744">
              <w:t>· Сравнение на данните се извършва когато се използват различни източници на данни;</w:t>
            </w:r>
          </w:p>
          <w:p w:rsidR="004D0744" w:rsidRPr="004D0744" w:rsidRDefault="004D0744" w:rsidP="004D0744">
            <w:r w:rsidRPr="004D0744">
              <w:t>· В някои случаи допълнителни проучвания се правят с цел да се изяснят причините за някои различия в първичните данни. В други случаи по-надеждния източник на информация се избира.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Вътрешна съгласуваност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Осигурена.</w:t>
            </w:r>
          </w:p>
        </w:tc>
      </w:tr>
      <w:tr w:rsidR="004D0744" w:rsidRPr="004D0744" w:rsidTr="004D0744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pPr>
              <w:rPr>
                <w:b/>
                <w:bCs/>
              </w:rPr>
            </w:pPr>
            <w:r w:rsidRPr="004D0744">
              <w:rPr>
                <w:b/>
                <w:bCs/>
              </w:rPr>
              <w:t>Разходи и натовареност</w:t>
            </w:r>
          </w:p>
        </w:tc>
      </w:tr>
      <w:tr w:rsidR="004D0744" w:rsidRPr="004D0744" w:rsidTr="004D0744">
        <w:tc>
          <w:tcPr>
            <w:tcW w:w="0" w:type="auto"/>
            <w:gridSpan w:val="2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Не се прилага.</w:t>
            </w:r>
          </w:p>
        </w:tc>
      </w:tr>
      <w:tr w:rsidR="004D0744" w:rsidRPr="004D0744" w:rsidTr="004D0744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pPr>
              <w:rPr>
                <w:b/>
                <w:bCs/>
              </w:rPr>
            </w:pPr>
            <w:r w:rsidRPr="004D0744">
              <w:rPr>
                <w:b/>
                <w:bCs/>
              </w:rPr>
              <w:t>Ревизия на данните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Ревизия на данните - политика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Основни ревизии и текущи ревизии.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Ревизия на данните - практика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 xml:space="preserve">Текуща ревизионна политика – извършва се годишно и е главно, свързана с ревизия на данните на </w:t>
            </w:r>
            <w:proofErr w:type="spellStart"/>
            <w:r w:rsidRPr="004D0744">
              <w:t>Нотификационните</w:t>
            </w:r>
            <w:proofErr w:type="spellEnd"/>
            <w:r w:rsidRPr="004D0744">
              <w:t xml:space="preserve"> таблици, Международната </w:t>
            </w:r>
            <w:r w:rsidRPr="004D0744">
              <w:lastRenderedPageBreak/>
              <w:t>инвестиционна позиция, парична и банкова статистика и други.</w:t>
            </w:r>
          </w:p>
        </w:tc>
      </w:tr>
      <w:tr w:rsidR="004D0744" w:rsidRPr="004D0744" w:rsidTr="004D0744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pPr>
              <w:rPr>
                <w:b/>
                <w:bCs/>
              </w:rPr>
            </w:pPr>
            <w:r w:rsidRPr="004D0744">
              <w:rPr>
                <w:b/>
                <w:bCs/>
              </w:rPr>
              <w:lastRenderedPageBreak/>
              <w:t>Статистическа обработка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Източници на данни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 xml:space="preserve">Основни източници на данни за разработване на годишните финансови сметки са: </w:t>
            </w:r>
          </w:p>
          <w:p w:rsidR="004D0744" w:rsidRPr="004D0744" w:rsidRDefault="004D0744" w:rsidP="004D0744">
            <w:r w:rsidRPr="004D0744">
              <w:t xml:space="preserve">• Годишни статистически отчети на НСИ за институционални сектори: Нефинансови предприятия; Други финансови </w:t>
            </w:r>
            <w:proofErr w:type="spellStart"/>
            <w:r w:rsidRPr="004D0744">
              <w:t>посредници</w:t>
            </w:r>
            <w:proofErr w:type="spellEnd"/>
            <w:r w:rsidRPr="004D0744">
              <w:t xml:space="preserve"> с изключение на застрахователни компании и пенсионни фондове; Застрахователни компании и пенсионни фондове; Нетърговски организации, обслужващи домакинствата.</w:t>
            </w:r>
          </w:p>
          <w:p w:rsidR="004D0744" w:rsidRPr="004D0744" w:rsidRDefault="004D0744" w:rsidP="004D0744">
            <w:r w:rsidRPr="004D0744">
              <w:t xml:space="preserve">• Баланси и оборотни ведомости на подсекторите на сектор „Държавно управление”, Консолидирана </w:t>
            </w:r>
            <w:proofErr w:type="spellStart"/>
            <w:r w:rsidRPr="004D0744">
              <w:t>фискалана</w:t>
            </w:r>
            <w:proofErr w:type="spellEnd"/>
            <w:r w:rsidRPr="004D0744">
              <w:t xml:space="preserve"> програма.</w:t>
            </w:r>
          </w:p>
          <w:p w:rsidR="004D0744" w:rsidRPr="004D0744" w:rsidRDefault="004D0744" w:rsidP="004D0744">
            <w:r w:rsidRPr="004D0744">
              <w:t>• Отчети на БНБ от парична и банкова статистика за сектори "</w:t>
            </w:r>
            <w:proofErr w:type="spellStart"/>
            <w:r w:rsidRPr="004D0744">
              <w:t>Централана</w:t>
            </w:r>
            <w:proofErr w:type="spellEnd"/>
            <w:r w:rsidRPr="004D0744">
              <w:t xml:space="preserve"> банка" и "Други парично-финансови предприятия" и платежен баланс за сектор "Останал свят".</w:t>
            </w:r>
          </w:p>
          <w:p w:rsidR="004D0744" w:rsidRPr="004D0744" w:rsidRDefault="004D0744" w:rsidP="004D0744">
            <w:r w:rsidRPr="004D0744">
              <w:t xml:space="preserve">• Информация, предоставена от Централния </w:t>
            </w:r>
            <w:proofErr w:type="spellStart"/>
            <w:r w:rsidRPr="004D0744">
              <w:t>депозитар</w:t>
            </w:r>
            <w:proofErr w:type="spellEnd"/>
            <w:r w:rsidRPr="004D0744">
              <w:t xml:space="preserve"> за котираните и некотирани акции на фондовата борса и компенсаторни инструменти.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Честота на събиране на данни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Годишно.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Събиране на данни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Изчерпателни наблюдения за всички стопански единици.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proofErr w:type="spellStart"/>
            <w:r w:rsidRPr="004D0744">
              <w:t>Валидиране</w:t>
            </w:r>
            <w:proofErr w:type="spellEnd"/>
            <w:r w:rsidRPr="004D0744">
              <w:t xml:space="preserve"> на данни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proofErr w:type="spellStart"/>
            <w:r w:rsidRPr="004D0744">
              <w:t>Валидиране</w:t>
            </w:r>
            <w:proofErr w:type="spellEnd"/>
            <w:r w:rsidRPr="004D0744">
              <w:t xml:space="preserve"> на данните от </w:t>
            </w:r>
            <w:proofErr w:type="spellStart"/>
            <w:r w:rsidRPr="004D0744">
              <w:t>Евростат</w:t>
            </w:r>
            <w:proofErr w:type="spellEnd"/>
            <w:r w:rsidRPr="004D0744">
              <w:t>.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Обработка на данни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Анализиране, балансиране, групиране.</w:t>
            </w:r>
          </w:p>
        </w:tc>
      </w:tr>
      <w:tr w:rsidR="004D0744" w:rsidRPr="004D0744" w:rsidTr="004D0744">
        <w:tc>
          <w:tcPr>
            <w:tcW w:w="2550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8F8F8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Изглаждане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BBBBBB"/>
              <w:bottom w:val="single" w:sz="6" w:space="0" w:color="BBBBBB"/>
              <w:right w:val="single" w:sz="6" w:space="0" w:color="BBBBBB"/>
            </w:tcBorders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r w:rsidRPr="004D0744">
              <w:t>Не се прилага.</w:t>
            </w:r>
          </w:p>
        </w:tc>
      </w:tr>
      <w:tr w:rsidR="004D0744" w:rsidRPr="004D0744" w:rsidTr="004D0744"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E8E8E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4D0744" w:rsidRPr="004D0744" w:rsidRDefault="004D0744" w:rsidP="004D0744">
            <w:pPr>
              <w:rPr>
                <w:b/>
                <w:bCs/>
              </w:rPr>
            </w:pPr>
            <w:r w:rsidRPr="004D0744">
              <w:rPr>
                <w:b/>
                <w:bCs/>
              </w:rPr>
              <w:t>Коментар</w:t>
            </w:r>
          </w:p>
        </w:tc>
      </w:tr>
    </w:tbl>
    <w:p w:rsidR="00002288" w:rsidRDefault="00002288">
      <w:bookmarkStart w:id="0" w:name="_GoBack"/>
      <w:bookmarkEnd w:id="0"/>
    </w:p>
    <w:sectPr w:rsidR="000022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173781"/>
    <w:multiLevelType w:val="multilevel"/>
    <w:tmpl w:val="EF1C8E28"/>
    <w:lvl w:ilvl="0">
      <w:start w:val="1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-770"/>
        </w:tabs>
        <w:ind w:left="432" w:hanging="432"/>
      </w:pPr>
      <w:rPr>
        <w:rFonts w:ascii="Verdana" w:hAnsi="Verdana" w:cs="Arial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744"/>
    <w:rsid w:val="00002288"/>
    <w:rsid w:val="004D0744"/>
    <w:rsid w:val="007B14B6"/>
    <w:rsid w:val="00995FFF"/>
    <w:rsid w:val="00BF44B9"/>
    <w:rsid w:val="00D22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0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qFormat/>
    <w:rsid w:val="00995FFF"/>
    <w:pPr>
      <w:spacing w:line="276" w:lineRule="auto"/>
    </w:pPr>
    <w:rPr>
      <w:rFonts w:ascii="Verdana" w:hAnsi="Verdana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995FFF"/>
    <w:pPr>
      <w:keepNext/>
      <w:keepLines/>
      <w:spacing w:before="480"/>
      <w:outlineLvl w:val="0"/>
    </w:pPr>
    <w:rPr>
      <w:rFonts w:ascii="Cambria" w:eastAsia="Malgun Gothic" w:hAnsi="Cambria" w:cstheme="majorBidi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995FFF"/>
    <w:pPr>
      <w:keepNext/>
      <w:suppressAutoHyphens/>
      <w:spacing w:before="120" w:after="120" w:line="240" w:lineRule="auto"/>
      <w:jc w:val="both"/>
      <w:outlineLvl w:val="1"/>
    </w:pPr>
    <w:rPr>
      <w:rFonts w:ascii="Times New Roman" w:eastAsia="Times New Roman" w:hAnsi="Times New Roman"/>
      <w:b/>
      <w:bCs/>
      <w:iCs/>
      <w:sz w:val="24"/>
      <w:szCs w:val="28"/>
      <w:lang w:eastAsia="ar-SA"/>
    </w:rPr>
  </w:style>
  <w:style w:type="paragraph" w:styleId="Heading3">
    <w:name w:val="heading 3"/>
    <w:basedOn w:val="Normal"/>
    <w:next w:val="Normal"/>
    <w:link w:val="Heading3Char"/>
    <w:qFormat/>
    <w:rsid w:val="00995FFF"/>
    <w:pPr>
      <w:keepNext/>
      <w:spacing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95FF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95FFF"/>
    <w:rPr>
      <w:rFonts w:ascii="Cambria" w:eastAsia="Malgun Gothic" w:hAnsi="Cambria" w:cstheme="majorBidi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995FFF"/>
    <w:rPr>
      <w:rFonts w:eastAsia="Times New Roman"/>
      <w:b/>
      <w:bCs/>
      <w:iCs/>
      <w:sz w:val="24"/>
      <w:szCs w:val="28"/>
      <w:lang w:eastAsia="ar-SA"/>
    </w:rPr>
  </w:style>
  <w:style w:type="character" w:customStyle="1" w:styleId="Heading3Char">
    <w:name w:val="Heading 3 Char"/>
    <w:basedOn w:val="DefaultParagraphFont"/>
    <w:link w:val="Heading3"/>
    <w:rsid w:val="00995FFF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rsid w:val="00995FFF"/>
    <w:rPr>
      <w:rFonts w:ascii="Calibri" w:hAnsi="Calibri"/>
      <w:b/>
      <w:bCs/>
      <w:sz w:val="28"/>
      <w:szCs w:val="28"/>
    </w:rPr>
  </w:style>
  <w:style w:type="paragraph" w:styleId="Caption">
    <w:name w:val="caption"/>
    <w:basedOn w:val="Normal"/>
    <w:next w:val="Normal"/>
    <w:qFormat/>
    <w:rsid w:val="00995FFF"/>
    <w:rPr>
      <w:rFonts w:eastAsia="Times New Roman"/>
      <w:b/>
      <w:bCs/>
      <w:sz w:val="20"/>
      <w:szCs w:val="20"/>
    </w:rPr>
  </w:style>
  <w:style w:type="paragraph" w:styleId="Subtitle">
    <w:name w:val="Subtitle"/>
    <w:basedOn w:val="Normal"/>
    <w:next w:val="Normal"/>
    <w:link w:val="SubtitleChar"/>
    <w:qFormat/>
    <w:rsid w:val="00995FFF"/>
    <w:pPr>
      <w:numPr>
        <w:ilvl w:val="1"/>
      </w:numPr>
    </w:pPr>
    <w:rPr>
      <w:rFonts w:ascii="Cambria" w:eastAsia="Malgun Gothic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rsid w:val="00995FFF"/>
    <w:rPr>
      <w:rFonts w:ascii="Cambria" w:eastAsia="Malgun Gothic" w:hAnsi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qFormat/>
    <w:rsid w:val="00995FFF"/>
    <w:pPr>
      <w:ind w:left="720"/>
      <w:contextualSpacing/>
    </w:pPr>
    <w:rPr>
      <w:rFonts w:eastAsia="Times New Roman"/>
    </w:rPr>
  </w:style>
  <w:style w:type="character" w:styleId="SubtleEmphasis">
    <w:name w:val="Subtle Emphasis"/>
    <w:qFormat/>
    <w:rsid w:val="00995FFF"/>
    <w:rPr>
      <w:rFonts w:cs="Times New Roman"/>
      <w:i/>
      <w:iCs/>
      <w:color w:val="808080"/>
    </w:rPr>
  </w:style>
  <w:style w:type="character" w:styleId="SubtleReference">
    <w:name w:val="Subtle Reference"/>
    <w:qFormat/>
    <w:rsid w:val="00995FFF"/>
    <w:rPr>
      <w:rFonts w:cs="Times New Roman"/>
      <w:smallCaps/>
      <w:color w:val="C0504D"/>
      <w:u w:val="single"/>
    </w:rPr>
  </w:style>
  <w:style w:type="character" w:styleId="BookTitle">
    <w:name w:val="Book Title"/>
    <w:qFormat/>
    <w:rsid w:val="00995FFF"/>
    <w:rPr>
      <w:rFonts w:cs="Times New Roman"/>
      <w:b/>
      <w:bCs/>
      <w:smallCaps/>
      <w:spacing w:val="5"/>
    </w:rPr>
  </w:style>
  <w:style w:type="paragraph" w:styleId="TOCHeading">
    <w:name w:val="TOC Heading"/>
    <w:basedOn w:val="Heading1"/>
    <w:next w:val="Normal"/>
    <w:qFormat/>
    <w:rsid w:val="00995FFF"/>
    <w:pPr>
      <w:outlineLvl w:val="9"/>
    </w:pPr>
    <w:rPr>
      <w:rFonts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4D074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0" w:unhideWhenUsed="0" w:qFormat="1"/>
    <w:lsdException w:name="Intense Reference" w:semiHidden="0" w:uiPriority="32" w:unhideWhenUsed="0" w:qFormat="1"/>
    <w:lsdException w:name="Book Title" w:semiHidden="0" w:uiPriority="0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qFormat/>
    <w:rsid w:val="00995FFF"/>
    <w:pPr>
      <w:spacing w:line="276" w:lineRule="auto"/>
    </w:pPr>
    <w:rPr>
      <w:rFonts w:ascii="Verdana" w:hAnsi="Verdana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995FFF"/>
    <w:pPr>
      <w:keepNext/>
      <w:keepLines/>
      <w:spacing w:before="480"/>
      <w:outlineLvl w:val="0"/>
    </w:pPr>
    <w:rPr>
      <w:rFonts w:ascii="Cambria" w:eastAsia="Malgun Gothic" w:hAnsi="Cambria" w:cstheme="majorBidi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995FFF"/>
    <w:pPr>
      <w:keepNext/>
      <w:suppressAutoHyphens/>
      <w:spacing w:before="120" w:after="120" w:line="240" w:lineRule="auto"/>
      <w:jc w:val="both"/>
      <w:outlineLvl w:val="1"/>
    </w:pPr>
    <w:rPr>
      <w:rFonts w:ascii="Times New Roman" w:eastAsia="Times New Roman" w:hAnsi="Times New Roman"/>
      <w:b/>
      <w:bCs/>
      <w:iCs/>
      <w:sz w:val="24"/>
      <w:szCs w:val="28"/>
      <w:lang w:eastAsia="ar-SA"/>
    </w:rPr>
  </w:style>
  <w:style w:type="paragraph" w:styleId="Heading3">
    <w:name w:val="heading 3"/>
    <w:basedOn w:val="Normal"/>
    <w:next w:val="Normal"/>
    <w:link w:val="Heading3Char"/>
    <w:qFormat/>
    <w:rsid w:val="00995FFF"/>
    <w:pPr>
      <w:keepNext/>
      <w:spacing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95FF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95FFF"/>
    <w:rPr>
      <w:rFonts w:ascii="Cambria" w:eastAsia="Malgun Gothic" w:hAnsi="Cambria" w:cstheme="majorBidi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995FFF"/>
    <w:rPr>
      <w:rFonts w:eastAsia="Times New Roman"/>
      <w:b/>
      <w:bCs/>
      <w:iCs/>
      <w:sz w:val="24"/>
      <w:szCs w:val="28"/>
      <w:lang w:eastAsia="ar-SA"/>
    </w:rPr>
  </w:style>
  <w:style w:type="character" w:customStyle="1" w:styleId="Heading3Char">
    <w:name w:val="Heading 3 Char"/>
    <w:basedOn w:val="DefaultParagraphFont"/>
    <w:link w:val="Heading3"/>
    <w:rsid w:val="00995FFF"/>
    <w:rPr>
      <w:rFonts w:ascii="Arial" w:eastAsia="Times New Roman" w:hAnsi="Arial" w:cs="Arial"/>
      <w:b/>
      <w:bCs/>
      <w:sz w:val="26"/>
      <w:szCs w:val="26"/>
    </w:rPr>
  </w:style>
  <w:style w:type="character" w:customStyle="1" w:styleId="Heading4Char">
    <w:name w:val="Heading 4 Char"/>
    <w:link w:val="Heading4"/>
    <w:rsid w:val="00995FFF"/>
    <w:rPr>
      <w:rFonts w:ascii="Calibri" w:hAnsi="Calibri"/>
      <w:b/>
      <w:bCs/>
      <w:sz w:val="28"/>
      <w:szCs w:val="28"/>
    </w:rPr>
  </w:style>
  <w:style w:type="paragraph" w:styleId="Caption">
    <w:name w:val="caption"/>
    <w:basedOn w:val="Normal"/>
    <w:next w:val="Normal"/>
    <w:qFormat/>
    <w:rsid w:val="00995FFF"/>
    <w:rPr>
      <w:rFonts w:eastAsia="Times New Roman"/>
      <w:b/>
      <w:bCs/>
      <w:sz w:val="20"/>
      <w:szCs w:val="20"/>
    </w:rPr>
  </w:style>
  <w:style w:type="paragraph" w:styleId="Subtitle">
    <w:name w:val="Subtitle"/>
    <w:basedOn w:val="Normal"/>
    <w:next w:val="Normal"/>
    <w:link w:val="SubtitleChar"/>
    <w:qFormat/>
    <w:rsid w:val="00995FFF"/>
    <w:pPr>
      <w:numPr>
        <w:ilvl w:val="1"/>
      </w:numPr>
    </w:pPr>
    <w:rPr>
      <w:rFonts w:ascii="Cambria" w:eastAsia="Malgun Gothic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rsid w:val="00995FFF"/>
    <w:rPr>
      <w:rFonts w:ascii="Cambria" w:eastAsia="Malgun Gothic" w:hAnsi="Cambria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qFormat/>
    <w:rsid w:val="00995FFF"/>
    <w:pPr>
      <w:ind w:left="720"/>
      <w:contextualSpacing/>
    </w:pPr>
    <w:rPr>
      <w:rFonts w:eastAsia="Times New Roman"/>
    </w:rPr>
  </w:style>
  <w:style w:type="character" w:styleId="SubtleEmphasis">
    <w:name w:val="Subtle Emphasis"/>
    <w:qFormat/>
    <w:rsid w:val="00995FFF"/>
    <w:rPr>
      <w:rFonts w:cs="Times New Roman"/>
      <w:i/>
      <w:iCs/>
      <w:color w:val="808080"/>
    </w:rPr>
  </w:style>
  <w:style w:type="character" w:styleId="SubtleReference">
    <w:name w:val="Subtle Reference"/>
    <w:qFormat/>
    <w:rsid w:val="00995FFF"/>
    <w:rPr>
      <w:rFonts w:cs="Times New Roman"/>
      <w:smallCaps/>
      <w:color w:val="C0504D"/>
      <w:u w:val="single"/>
    </w:rPr>
  </w:style>
  <w:style w:type="character" w:styleId="BookTitle">
    <w:name w:val="Book Title"/>
    <w:qFormat/>
    <w:rsid w:val="00995FFF"/>
    <w:rPr>
      <w:rFonts w:cs="Times New Roman"/>
      <w:b/>
      <w:bCs/>
      <w:smallCaps/>
      <w:spacing w:val="5"/>
    </w:rPr>
  </w:style>
  <w:style w:type="paragraph" w:styleId="TOCHeading">
    <w:name w:val="TOC Heading"/>
    <w:basedOn w:val="Heading1"/>
    <w:next w:val="Normal"/>
    <w:qFormat/>
    <w:rsid w:val="00995FFF"/>
    <w:pPr>
      <w:outlineLvl w:val="9"/>
    </w:pPr>
    <w:rPr>
      <w:rFonts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4D074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4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57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83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302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223668">
                      <w:marLeft w:val="0"/>
                      <w:marRight w:val="0"/>
                      <w:marTop w:val="0"/>
                      <w:marBottom w:val="3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8496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247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932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7219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60323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35465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1551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37358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si.bg/bg/node/488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Kamenov@nsi.b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Malinkova@nsi.b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NSI</Company>
  <LinksUpToDate>false</LinksUpToDate>
  <CharactersWithSpaces>8813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Antoniya Pacheva</dc:creator>
  <cp:lastModifiedBy>Antoniya Pacheva</cp:lastModifiedBy>
  <cp:revision>1</cp:revision>
  <dcterms:created xsi:type="dcterms:W3CDTF">2015-06-03T12:21:00Z</dcterms:created>
  <dcterms:modified xsi:type="dcterms:W3CDTF">2015-06-03T12:22:00Z</dcterms:modified>
</cp:coreProperties>
</file>